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2808"/>
          <w:sz w:val="40"/>
          <w:szCs w:val="40"/>
        </w:rPr>
        <w:t xml:space="preserve">ROSETTE</w:t>
      </w:r>
    </w:p>
    <w:p>
      <w:pPr>
        <w:spacing w:after="240"/>
        <w:jc w:val="center"/>
      </w:pPr>
      <w:r>
        <w:rPr>
          <w:i/>
          <w:iCs/>
          <w:color w:val="9C7A2E"/>
          <w:sz w:val="22"/>
          <w:szCs w:val="22"/>
        </w:rPr>
        <w:t xml:space="preserve">Every ride has a story. Share it.</w:t>
      </w:r>
    </w:p>
    <w:p>
      <w:pPr>
        <w:spacing w:after="320"/>
        <w:jc w:val="center"/>
      </w:pPr>
      <w:r>
        <w:rPr>
          <w:b/>
          <w:bCs/>
          <w:sz w:val="26"/>
          <w:szCs w:val="26"/>
        </w:rPr>
        <w:t xml:space="preserve">Show Setup Walkthrough</w:t>
      </w:r>
    </w:p>
    <w:p>
      <w:pPr>
        <w:spacing w:after="160"/>
      </w:pPr>
      <w:r>
        <w:t xml:space="preserve">Thank you for setting up Rosette for your event. This walkthrough covers the admin panel from top to bottom — setting up branding, configuring your show or event, generating the QR codes, and what riders, spectators, and photographers actually see when they scan one. There's no need to follow this perfectly — if something feels unclear or doesn't behave the way you'd expect, that feedback is genuinely useful.</w:t>
      </w:r>
    </w:p>
    <w:p>
      <w:pPr>
        <w:pStyle w:val="Heading1"/>
      </w:pPr>
      <w:r>
        <w:t xml:space="preserve">What is Rosette?</w:t>
      </w:r>
    </w:p>
    <w:p>
      <w:pPr>
        <w:spacing w:after="160"/>
      </w:pPr>
      <w:r>
        <w:t xml:space="preserve">Rosette turns a phone photo into a branded, certificate-style keepsake — the kind of frame you'd put on a wall, but generated instantly and shared straight to social media. Riders, spectators, and photographers each scan a QR code, tell their part of the story, take or upload a photo, and get a polished frame in seconds.</w:t>
      </w:r>
    </w:p>
    <w:p>
      <w:pPr>
        <w:spacing w:after="160"/>
      </w:pPr>
      <w:r>
        <w:t xml:space="preserve">There's no app to download — everything happens in a web browser. The admin panel (where setup happens) and the rider-facing booth are two separate pages, both reached from the same website.</w:t>
      </w:r>
    </w:p>
    <w:p>
      <w:pPr>
        <w:spacing w:after="160"/>
      </w:pPr>
      <w:r>
        <w:t xml:space="default"/>
      </w:r>
    </w:p>
    <w:p>
      <w:pPr>
        <w:pStyle w:val="Heading1"/>
      </w:pPr>
      <w:r>
        <w:t xml:space="preserve">Getting Into the Admin Panel</w:t>
      </w:r>
    </w:p>
    <w:p>
      <w:pPr>
        <w:pStyle w:val="ListParagraph"/>
        <w:numPr>
          <w:ilvl w:val="0"/>
          <w:numId w:val="2"/>
        </w:numPr>
        <w:spacing w:after="80"/>
      </w:pPr>
      <w:r>
        <w:t xml:space="preserve">Go to rosetteapp.ca/admin.html</w:t>
      </w:r>
    </w:p>
    <w:p>
      <w:pPr>
        <w:pStyle w:val="ListParagraph"/>
        <w:numPr>
          <w:ilvl w:val="0"/>
          <w:numId w:val="2"/>
        </w:numPr>
        <w:spacing w:after="80"/>
      </w:pPr>
      <w:r>
        <w:t xml:space="preserve">Enter the event PIN you were given. This logs you straight into that event's configuration — you won't see any other events.</w:t>
      </w:r>
    </w:p>
    <w:p>
      <w:pPr>
        <w:spacing w:after="160"/>
      </w:pPr>
      <w:r>
        <w:rPr>
          <w:i/>
          <w:iCs/>
          <w:color w:val="777777"/>
        </w:rPr>
        <w:t xml:space="preserve">That's it — you're in. Everything below happens on this one screen, in the order it appears top to bottom.</w:t>
      </w:r>
    </w:p>
    <w:p>
      <w:pPr>
        <w:pStyle w:val="Heading1"/>
      </w:pPr>
      <w:r>
        <w:t xml:space="preserve">1. Event Branding</w:t>
      </w:r>
    </w:p>
    <w:p>
      <w:pPr>
        <w:spacing w:after="160"/>
      </w:pPr>
      <w:r>
        <w:t xml:space="preserve">This is the first card on the screen, and where you'll spend most of your setup time.</w:t>
      </w:r>
    </w:p>
    <w:p>
      <w:pPr>
        <w:pStyle w:val="ListParagraph"/>
        <w:numPr>
          <w:ilvl w:val="0"/>
          <w:numId w:val="3"/>
        </w:numPr>
        <w:spacing w:after="80"/>
      </w:pPr>
      <w:r>
        <w:rPr>
          <w:b/>
          <w:bCs/>
        </w:rPr>
        <w:t xml:space="preserve">Primary Colour</w:t>
      </w:r>
      <w:r>
        <w:t xml:space="preserve"> — the frame's background colour.</w:t>
      </w:r>
    </w:p>
    <w:p>
      <w:pPr>
        <w:pStyle w:val="ListParagraph"/>
        <w:numPr>
          <w:ilvl w:val="0"/>
          <w:numId w:val="3"/>
        </w:numPr>
        <w:spacing w:after="80"/>
      </w:pPr>
      <w:r>
        <w:rPr>
          <w:b/>
          <w:bCs/>
        </w:rPr>
        <w:t xml:space="preserve">Accent Colour</w:t>
      </w:r>
      <w:r>
        <w:t xml:space="preserve"> — text, borders, and detail colour. Five quick presets (Gold, Silver, Bronze, White, Black) or pick a custom colour.</w:t>
      </w:r>
    </w:p>
    <w:p>
      <w:pPr>
        <w:pStyle w:val="ListParagraph"/>
        <w:numPr>
          <w:ilvl w:val="0"/>
          <w:numId w:val="3"/>
        </w:numPr>
        <w:spacing w:after="80"/>
      </w:pPr>
      <w:r>
        <w:rPr>
          <w:b/>
          <w:bCs/>
        </w:rPr>
        <w:t xml:space="preserve">Live Preview</w:t>
      </w:r>
      <w:r>
        <w:t xml:space="preserve"> — updates instantly as you choose colours, so you can see exactly what riders will see before saving anything.</w:t>
      </w:r>
    </w:p>
    <w:p>
      <w:pPr>
        <w:pStyle w:val="ListParagraph"/>
        <w:numPr>
          <w:ilvl w:val="0"/>
          <w:numId w:val="3"/>
        </w:numPr>
        <w:spacing w:after="80"/>
      </w:pPr>
      <w:r>
        <w:rPr>
          <w:b/>
          <w:bCs/>
        </w:rPr>
        <w:t xml:space="preserve">Venue Name</w:t>
      </w:r>
      <w:r>
        <w:t xml:space="preserve"> (optional) — shown in italics above the event name. Include the word “presents” yourself if you want that phrasing (e.g. “Northern Tempo Equestrian Centre presents”) — it's printed exactly as typed.</w:t>
      </w:r>
    </w:p>
    <w:p>
      <w:pPr>
        <w:pStyle w:val="ListParagraph"/>
        <w:numPr>
          <w:ilvl w:val="0"/>
          <w:numId w:val="3"/>
        </w:numPr>
        <w:spacing w:after="80"/>
      </w:pPr>
      <w:r>
        <w:rPr>
          <w:b/>
          <w:bCs/>
        </w:rPr>
        <w:t xml:space="preserve">Clinician / “with” line</w:t>
      </w:r>
      <w:r>
        <w:t xml:space="preserve"> (optional) — a third header line, e.g. “with Jane Smith.”</w:t>
      </w:r>
    </w:p>
    <w:p>
      <w:pPr>
        <w:pStyle w:val="ListParagraph"/>
        <w:numPr>
          <w:ilvl w:val="0"/>
          <w:numId w:val="3"/>
        </w:numPr>
        <w:spacing w:after="80"/>
      </w:pPr>
      <w:r>
        <w:rPr>
          <w:b/>
          <w:bCs/>
        </w:rPr>
        <w:t xml:space="preserve">Header Row 3 Shows</w:t>
      </w:r>
      <w:r>
        <w:t xml:space="preserve"> — choose whether that third header line defaults to the clinician/judge name, or always shows the show dates instead. If you choose Clinician/Judge but haven't set one, it automatically falls back to dates.</w:t>
      </w:r>
    </w:p>
    <w:p>
      <w:pPr>
        <w:pStyle w:val="ListParagraph"/>
        <w:numPr>
          <w:ilvl w:val="0"/>
          <w:numId w:val="3"/>
        </w:numPr>
        <w:spacing w:after="80"/>
      </w:pPr>
      <w:r>
        <w:rPr>
          <w:b/>
          <w:bCs/>
        </w:rPr>
        <w:t xml:space="preserve">Event Type</w:t>
      </w:r>
      <w:r>
        <w:t xml:space="preserve"> — Horse Show, Clinic, Trail/Group Ride, Community Event, or Other. </w:t>
      </w:r>
    </w:p>
    <w:p>
      <w:pPr>
        <w:spacing w:after="160"/>
      </w:pPr>
      <w:r>
        <w:rPr>
          <w:color w:val="777777"/>
        </w:rPr>
        <w:t xml:space="preserve">Choosing Horse Show unlocks class-list import, divisions, and placings (sections 2–4 below). Any other Event Type replaces those sections with a single Rider Responses card — the same curated-phrase-or-write-your-own approach Spectators already use — since a clinic or trail ride doesn't have classes or placings to track.</w:t>
      </w:r>
    </w:p>
    <w:p>
      <w:pPr>
        <w:spacing w:after="160"/>
      </w:pPr>
      <w:r>
        <w:t xml:space="preserve">Save your branding before scrolling down — the three QR codes won't appear until you do.</w:t>
      </w:r>
    </w:p>
    <w:p>
      <w:pPr>
        <w:pStyle w:val="Heading2"/>
      </w:pPr>
      <w:r>
        <w:t xml:space="preserve">The Three QR Codes</w:t>
      </w:r>
    </w:p>
    <w:p>
      <w:pPr>
        <w:spacing w:after="160"/>
      </w:pPr>
      <w:r>
        <w:t xml:space="preserve">Each QR code takes the person straight to the right experience — no extra menus or choices for them to make. All three are generated once you save branding, and won't change even if you edit colours later (unless you deliberately regenerate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80"/>
        <w:gridCol w:w="4680"/>
      </w:tblGrid>
      <w:tr>
        <w:tc>
          <w:tcPr>
            <w:tcW w:type="dxa" w:w="1800"/>
            <w:tcBorders>
              <w:top w:val="single" w:color="CCCCCC" w:sz="4"/>
              <w:left w:val="single" w:color="CCCCCC" w:sz="4"/>
              <w:bottom w:val="single" w:color="CCCCCC" w:sz="4"/>
              <w:right w:val="single" w:color="CCCCCC" w:sz="4"/>
            </w:tcBorders>
            <w:shd w:fill="F7F3ED" w:val="clear"/>
            <w:tcMar>
              <w:top w:type="dxa" w:w="100"/>
              <w:left w:type="dxa" w:w="140"/>
              <w:bottom w:type="dxa" w:w="100"/>
              <w:right w:type="dxa" w:w="140"/>
            </w:tcMar>
          </w:tcPr>
          <w:p>
            <w:r>
              <w:rPr>
                <w:b/>
                <w:bCs/>
              </w:rPr>
              <w:t xml:space="preserve">QR Code</w:t>
            </w:r>
          </w:p>
        </w:tc>
        <w:tc>
          <w:tcPr>
            <w:tcW w:type="dxa" w:w="2880"/>
            <w:tcBorders>
              <w:top w:val="single" w:color="CCCCCC" w:sz="4"/>
              <w:left w:val="single" w:color="CCCCCC" w:sz="4"/>
              <w:bottom w:val="single" w:color="CCCCCC" w:sz="4"/>
              <w:right w:val="single" w:color="CCCCCC" w:sz="4"/>
            </w:tcBorders>
            <w:shd w:fill="F7F3ED" w:val="clear"/>
            <w:tcMar>
              <w:top w:type="dxa" w:w="100"/>
              <w:left w:type="dxa" w:w="140"/>
              <w:bottom w:type="dxa" w:w="100"/>
              <w:right w:type="dxa" w:w="140"/>
            </w:tcMar>
          </w:tcPr>
          <w:p>
            <w:r>
              <w:rPr>
                <w:b/>
                <w:bCs/>
              </w:rPr>
              <w:t xml:space="preserve">Who It's For</w:t>
            </w:r>
          </w:p>
        </w:tc>
        <w:tc>
          <w:tcPr>
            <w:tcW w:type="dxa" w:w="4680"/>
            <w:tcBorders>
              <w:top w:val="single" w:color="CCCCCC" w:sz="4"/>
              <w:left w:val="single" w:color="CCCCCC" w:sz="4"/>
              <w:bottom w:val="single" w:color="CCCCCC" w:sz="4"/>
              <w:right w:val="single" w:color="CCCCCC" w:sz="4"/>
            </w:tcBorders>
            <w:shd w:fill="F7F3ED" w:val="clear"/>
            <w:tcMar>
              <w:top w:type="dxa" w:w="100"/>
              <w:left w:type="dxa" w:w="140"/>
              <w:bottom w:type="dxa" w:w="100"/>
              <w:right w:type="dxa" w:w="140"/>
            </w:tcMar>
          </w:tcPr>
          <w:p>
            <w:r>
              <w:rPr>
                <w:b/>
                <w:bCs/>
              </w:rPr>
              <w:t xml:space="preserve">Where to Use It</w:t>
            </w:r>
          </w:p>
        </w:tc>
      </w:tr>
      <w:tr>
        <w:tc>
          <w:tcPr>
            <w:tcW w:type="dxa" w:w="18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Entrant</w:t>
            </w:r>
          </w:p>
        </w:tc>
        <w:tc>
          <w:tcPr>
            <w:tcW w:type="dxa" w:w="28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Riders/competitors entering classes</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Print a sheet of 10 cards onto Avery 5371/8371 business card stock (3.5″ x 2″) and hand out at registration</w:t>
            </w:r>
          </w:p>
        </w:tc>
      </w:tr>
      <w:tr>
        <w:tc>
          <w:tcPr>
            <w:tcW w:type="dxa" w:w="18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Spectator</w:t>
            </w:r>
          </w:p>
        </w:tc>
        <w:tc>
          <w:tcPr>
            <w:tcW w:type="dxa" w:w="28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Parents, friends, anyone watching</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Print a full-page poster (Full Colour or Minimal Ink) and post ringside, near the gate, or anywhere spectators will see it</w:t>
            </w:r>
          </w:p>
        </w:tc>
      </w:tr>
      <w:tr>
        <w:tc>
          <w:tcPr>
            <w:tcW w:type="dxa" w:w="18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Media</w:t>
            </w:r>
          </w:p>
        </w:tc>
        <w:tc>
          <w:tcPr>
            <w:tcW w:type="dxa" w:w="28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Photographers and videographers</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Print a sheet of 10 cards (same Avery stock as Entrant) and hand to credentialed photographers at check-in</w:t>
            </w:r>
          </w:p>
        </w:tc>
      </w:tr>
    </w:tbl>
    <w:p>
      <w:pPr>
        <w:spacing w:after="160" w:before="200"/>
      </w:pPr>
      <w:r>
        <w:rPr>
          <w:i/>
          <w:iCs/>
          <w:color w:val="777777"/>
        </w:rPr>
        <w:t xml:space="preserve">All three are fully built and working — including Media, which generates a photographer credit watermark on the frame rather than a placing.</w:t>
      </w:r>
    </w:p>
    <w:p>
      <w:pPr>
        <w:pStyle w:val="Heading2"/>
      </w:pPr>
      <w:r>
        <w:t xml:space="preserve">Printing the QR Codes</w:t>
      </w:r>
    </w:p>
    <w:p>
      <w:pPr>
        <w:spacing w:after="160"/>
      </w:pPr>
      <w:r>
        <w:t xml:space="preserve">Each QR code's card in the admin panel has a Copy Link button and a print button, plus a Regenerate option if you ever need a fresh code (note: regenerating breaks any copies you've already printed).</w:t>
      </w:r>
    </w:p>
    <w:p>
      <w:pPr>
        <w:pStyle w:val="ListParagraph"/>
        <w:numPr>
          <w:ilvl w:val="0"/>
          <w:numId w:val="3"/>
        </w:numPr>
        <w:spacing w:after="80"/>
      </w:pPr>
      <w:r>
        <w:rPr>
          <w:b/>
          <w:bCs/>
        </w:rPr>
        <w:t xml:space="preserve">Entrant &amp; Media — “Print Cards”</w:t>
      </w:r>
      <w:r>
        <w:t xml:space="preserve">: downloads a ready-to-print PDF, 10 cards per sheet, sized for standard Avery 5371/8371 business card stock. No design work needed — just load the stock and print.</w:t>
      </w:r>
    </w:p>
    <w:p>
      <w:pPr>
        <w:pStyle w:val="ListParagraph"/>
        <w:numPr>
          <w:ilvl w:val="0"/>
          <w:numId w:val="3"/>
        </w:numPr>
        <w:spacing w:after="80"/>
      </w:pPr>
      <w:r>
        <w:rPr>
          <w:b/>
          <w:bCs/>
        </w:rPr>
        <w:t xml:space="preserve">Spectator — two poster options</w:t>
      </w:r>
      <w:r>
        <w:t xml:space="preserve">: “Print Poster (Full Colour)” gives a full-bleed branded poster matching your event colours — best as a single hero piece near the booth. “Print Poster (Minimal Ink)” gives the same layout on a white background with a thin accent border, intended for printing several copies around the venue without using much ink.</w:t>
      </w:r>
    </w:p>
    <w:p>
      <w:pPr>
        <w:pStyle w:val="Heading1"/>
      </w:pPr>
      <w:r>
        <w:t xml:space="preserve">2. Import Class List</w:t>
      </w:r>
    </w:p>
    <w:p>
      <w:pPr>
        <w:spacing w:after="160"/>
      </w:pPr>
      <w:r>
        <w:rPr>
          <w:i/>
          <w:iCs/>
          <w:color w:val="777777"/>
        </w:rPr>
        <w:t xml:space="preserve">Only appears for Horse Show events.</w:t>
      </w:r>
    </w:p>
    <w:p>
      <w:pPr>
        <w:spacing w:after="160"/>
      </w:pPr>
      <w:r>
        <w:t xml:space="preserve">Download the template from the link on this screen, then fill it in with your show's actual classes. Required columns are:</w:t>
      </w:r>
    </w:p>
    <w:p>
      <w:pPr>
        <w:spacing w:after="160"/>
      </w:pPr>
      <w:r>
        <w:rPr>
          <w:rFonts w:ascii="Courier New" w:cs="Courier New" w:eastAsia="Courier New" w:hAnsi="Courier New"/>
        </w:rPr>
        <w:t xml:space="preserve">class_number, class_name, division, date, ring, championship, sponsor</w:t>
      </w:r>
    </w:p>
    <w:p>
      <w:pPr>
        <w:pStyle w:val="ListParagraph"/>
        <w:numPr>
          <w:ilvl w:val="0"/>
          <w:numId w:val="3"/>
        </w:numPr>
        <w:spacing w:after="80"/>
      </w:pPr>
      <w:r>
        <w:rPr>
          <w:b/>
          <w:bCs/>
        </w:rPr>
        <w:t xml:space="preserve">division</w:t>
      </w:r>
      <w:r>
        <w:t xml:space="preserve"> groups your classes — every class with the same division name (e.g. “Hunter”) is bundled together automatically when you upload.</w:t>
      </w:r>
    </w:p>
    <w:p>
      <w:pPr>
        <w:pStyle w:val="ListParagraph"/>
        <w:numPr>
          <w:ilvl w:val="0"/>
          <w:numId w:val="3"/>
        </w:numPr>
        <w:spacing w:after="80"/>
      </w:pPr>
      <w:r>
        <w:rPr>
          <w:b/>
          <w:bCs/>
        </w:rPr>
        <w:t xml:space="preserve">championship</w:t>
      </w:r>
      <w:r>
        <w:t xml:space="preserve"> should be true or false for each row — this flags championship classes so the frame gets a slightly bolder treatment automatically.</w:t>
      </w:r>
    </w:p>
    <w:p>
      <w:pPr>
        <w:pStyle w:val="ListParagraph"/>
        <w:numPr>
          <w:ilvl w:val="0"/>
          <w:numId w:val="3"/>
        </w:numPr>
        <w:spacing w:after="80"/>
      </w:pPr>
      <w:r>
        <w:rPr>
          <w:b/>
          <w:bCs/>
        </w:rPr>
        <w:t xml:space="preserve">sponsor</w:t>
      </w:r>
      <w:r>
        <w:t xml:space="preserve"> is optional. If left blank, that division rotates through your Sponsor Tiers pool (see below) instead of naming one specific sponsor.</w:t>
      </w:r>
    </w:p>
    <w:p>
      <w:pPr>
        <w:pStyle w:val="Heading1"/>
      </w:pPr>
      <w:r>
        <w:t xml:space="preserve">3. Show Configuration</w:t>
      </w:r>
    </w:p>
    <w:p>
      <w:pPr>
        <w:spacing w:after="160"/>
      </w:pPr>
      <w:r>
        <w:rPr>
          <w:i/>
          <w:iCs/>
          <w:color w:val="777777"/>
        </w:rPr>
        <w:t xml:space="preserve">Only appears for Horse Show events.</w:t>
      </w:r>
    </w:p>
    <w:p>
      <w:pPr>
        <w:spacing w:after="160"/>
      </w:pPr>
      <w:r>
        <w:t xml:space="preserve">After importing, your divisions already exist — this section lets you review and adjust them, or build one manually. For each division you can:</w:t>
      </w:r>
    </w:p>
    <w:p>
      <w:pPr>
        <w:pStyle w:val="ListParagraph"/>
        <w:numPr>
          <w:ilvl w:val="0"/>
          <w:numId w:val="3"/>
        </w:numPr>
        <w:spacing w:after="80"/>
      </w:pPr>
      <w:r>
        <w:t xml:space="preserve">Assign or change the sponsor name, or leave it Unsponsored to pull from the Sponsor Tiers pool</w:t>
      </w:r>
    </w:p>
    <w:p>
      <w:pPr>
        <w:pStyle w:val="ListParagraph"/>
        <w:numPr>
          <w:ilvl w:val="0"/>
          <w:numId w:val="3"/>
        </w:numPr>
        <w:spacing w:after="80"/>
      </w:pPr>
      <w:r>
        <w:rPr>
          <w:b/>
          <w:bCs/>
        </w:rPr>
        <w:t xml:space="preserve">Judge Name</w:t>
      </w:r>
      <w:r>
        <w:t xml:space="preserve"> (optional) — if set, overrides the event-wide clinician line for classes in this specific division</w:t>
      </w:r>
    </w:p>
    <w:p>
      <w:pPr>
        <w:pStyle w:val="ListParagraph"/>
        <w:numPr>
          <w:ilvl w:val="0"/>
          <w:numId w:val="3"/>
        </w:numPr>
        <w:spacing w:after="80"/>
      </w:pPr>
      <w:r>
        <w:rPr>
          <w:b/>
          <w:bCs/>
        </w:rPr>
        <w:t xml:space="preserve">Non-Ridden Division</w:t>
      </w:r>
      <w:r>
        <w:t xml:space="preserve"> (Halter, Showmanship, In-Hand) — changes the frame to read “[Name] with [Horse]” instead of “on,” since these classes aren't ridden</w:t>
      </w:r>
    </w:p>
    <w:p>
      <w:pPr>
        <w:pStyle w:val="ListParagraph"/>
        <w:numPr>
          <w:ilvl w:val="0"/>
          <w:numId w:val="3"/>
        </w:numPr>
        <w:spacing w:after="80"/>
      </w:pPr>
      <w:r>
        <w:t xml:space="preserve">Add, edit, or remove individual classes — including an optional class number, so riders can search by number instead of name</w:t>
      </w:r>
    </w:p>
    <w:p>
      <w:pPr>
        <w:pStyle w:val="ListParagraph"/>
        <w:numPr>
          <w:ilvl w:val="0"/>
          <w:numId w:val="3"/>
        </w:numPr>
        <w:spacing w:after="80"/>
      </w:pPr>
      <w:r>
        <w:rPr>
          <w:b/>
          <w:bCs/>
        </w:rPr>
        <w:t xml:space="preserve">Frame Treatment</w:t>
      </w:r>
      <w:r>
        <w:t xml:space="preserve"> — for named sponsors, choose between “Sponsored by [Name]” (a subordinate line in the footer) or “Named Division” (“[Name] [Division]” appears in the large header, e.g. “SHE Consulting Jumper Division”). Division sponsors added to the Sponsor Tiers pool always use Sponsored by mode in the rotation regardless of this setting.</w:t>
      </w:r>
    </w:p>
    <w:p>
      <w:pPr>
        <w:pStyle w:val="Heading1"/>
      </w:pPr>
      <w:r>
        <w:t xml:space="preserve">4. Your Divisions</w:t>
      </w:r>
    </w:p>
    <w:p>
      <w:pPr>
        <w:spacing w:after="160"/>
      </w:pPr>
      <w:r>
        <w:rPr>
          <w:i/>
          <w:iCs/>
          <w:color w:val="777777"/>
        </w:rPr>
        <w:t xml:space="preserve">Only appears for Horse Show events.</w:t>
      </w:r>
    </w:p>
    <w:p>
      <w:pPr>
        <w:spacing w:after="160"/>
      </w:pPr>
      <w:r>
        <w:t xml:space="preserve">Your finished list — every division, its sponsor status, and how many classes it contains. Nothing more to do here once everything looks right.</w:t>
      </w:r>
    </w:p>
    <w:p>
      <w:pPr>
        <w:pStyle w:val="Heading1"/>
      </w:pPr>
      <w:r>
        <w:t xml:space="preserve">5. Sponsor Tiers</w:t>
      </w:r>
    </w:p>
    <w:p>
      <w:pPr>
        <w:spacing w:after="160"/>
      </w:pPr>
      <w:r>
        <w:rPr>
          <w:i/>
          <w:iCs/>
          <w:color w:val="777777"/>
        </w:rPr>
        <w:t xml:space="preserve">Appears for all event types.</w:t>
      </w:r>
    </w:p>
    <w:p>
      <w:pPr>
        <w:spacing w:after="160"/>
      </w:pPr>
      <w:r>
        <w:t xml:space="preserve">When a division (or, for non-show events, the event as a whole) has no specific sponsor assigned, it rotates through this pool instead — higher tiers appear more often. Defaults are Platinum / Gold / Silver / Bronze, but tier names, sponsor names, and weighting are fully editable. Divisions with their own named sponsor always show that sponsor and are unaffected by this list.</w:t>
      </w:r>
    </w:p>
    <w:p>
      <w:pPr>
        <w:spacing w:after="160"/>
      </w:pPr>
      <w:r>
        <w:t xml:space="preserve">Division sponsors can also be added here for additional visibility across the whole show — their named division placement is unaffected. A weight of 4 is a reasonable starting point for a division-level sponsor appearing in the general rotation alongside Gold-tier sponsors.</w:t>
      </w:r>
    </w:p>
    <w:p>
      <w:pPr>
        <w:pStyle w:val="Heading1"/>
      </w:pPr>
      <w:r>
        <w:t xml:space="preserve">6. Spectator Phrases / Rider Responses</w:t>
      </w:r>
    </w:p>
    <w:p>
      <w:pPr>
        <w:spacing w:after="160"/>
      </w:pPr>
      <w:r>
        <w:rPr>
          <w:i/>
          <w:iCs/>
          <w:color w:val="777777"/>
        </w:rPr>
        <w:t xml:space="preserve">Horse Show events see this card labelled “Spectator Phrases” and it applies only to the Spectator path. Other event types see it labelled “Rider Responses,” and it applies to the Entrant path instead, since there are no classes or placings to fall back on.</w:t>
      </w:r>
    </w:p>
    <w:p>
      <w:pPr>
        <w:spacing w:after="160"/>
      </w:pPr>
      <w:r>
        <w:t xml:space="preserve">This list comes pre-filled with general phrases (“Proud Horse Parent,” “Ringside,” etc.). Leave them as-is, remove any you don't like, or add your own — anything that fits how people at your event would describe their day. There's also always a free-text option for anyone who wants to write something in their own words, with a way to back out to the list if they change their mind.</w:t>
      </w:r>
    </w:p>
    <w:p>
      <w:pPr>
        <w:pStyle w:val="Heading1"/>
      </w:pPr>
      <w:r>
        <w:t xml:space="preserve">What Riders, Spectators &amp; Photographers Actually See</w:t>
      </w:r>
    </w:p>
    <w:p>
      <w:pPr>
        <w:pStyle w:val="Heading2"/>
      </w:pPr>
      <w:r>
        <w:t xml:space="preserve">Entrant Path (Horse Show events)</w:t>
      </w:r>
    </w:p>
    <w:p>
      <w:pPr>
        <w:pStyle w:val="ListParagraph"/>
        <w:numPr>
          <w:ilvl w:val="0"/>
          <w:numId w:val="3"/>
        </w:numPr>
        <w:spacing w:after="80"/>
      </w:pPr>
      <w:r>
        <w:t xml:space="preserve">Scan the Entrant QR code</w:t>
      </w:r>
    </w:p>
    <w:p>
      <w:pPr>
        <w:pStyle w:val="ListParagraph"/>
        <w:numPr>
          <w:ilvl w:val="0"/>
          <w:numId w:val="3"/>
        </w:numPr>
        <w:spacing w:after="80"/>
      </w:pPr>
      <w:r>
        <w:t xml:space="preserve">Search for their division (e.g. “Hunter”) — or just type the class name or number directly, and it finds it across all divisions</w:t>
      </w:r>
    </w:p>
    <w:p>
      <w:pPr>
        <w:pStyle w:val="ListParagraph"/>
        <w:numPr>
          <w:ilvl w:val="0"/>
          <w:numId w:val="3"/>
        </w:numPr>
        <w:spacing w:after="80"/>
      </w:pPr>
      <w:r>
        <w:t xml:space="preserve">Pick their class, then their placing (1st–6th, Champion, Reserve Champion, or “something else…” for a custom phrase)</w:t>
      </w:r>
    </w:p>
    <w:p>
      <w:pPr>
        <w:pStyle w:val="ListParagraph"/>
        <w:numPr>
          <w:ilvl w:val="0"/>
          <w:numId w:val="3"/>
        </w:numPr>
        <w:spacing w:after="80"/>
      </w:pPr>
      <w:r>
        <w:t xml:space="preserve">Enter their name and horse's name, plus an optional entry number</w:t>
      </w:r>
    </w:p>
    <w:p>
      <w:pPr>
        <w:pStyle w:val="ListParagraph"/>
        <w:numPr>
          <w:ilvl w:val="0"/>
          <w:numId w:val="3"/>
        </w:numPr>
        <w:spacing w:after="80"/>
      </w:pPr>
      <w:r>
        <w:t xml:space="preserve">Take or upload a photo — their frame appears instantly, ready to share</w:t>
      </w:r>
    </w:p>
    <w:p>
      <w:pPr>
        <w:pStyle w:val="Heading2"/>
      </w:pPr>
      <w:r>
        <w:t xml:space="preserve">Entrant Path (non-Horse Show events)</w:t>
      </w:r>
    </w:p>
    <w:p>
      <w:pPr>
        <w:pStyle w:val="ListParagraph"/>
        <w:numPr>
          <w:ilvl w:val="0"/>
          <w:numId w:val="3"/>
        </w:numPr>
        <w:spacing w:after="80"/>
      </w:pPr>
      <w:r>
        <w:t xml:space="preserve">Scan the Entrant QR code</w:t>
      </w:r>
    </w:p>
    <w:p>
      <w:pPr>
        <w:pStyle w:val="ListParagraph"/>
        <w:numPr>
          <w:ilvl w:val="0"/>
          <w:numId w:val="3"/>
        </w:numPr>
        <w:spacing w:after="80"/>
      </w:pPr>
      <w:r>
        <w:t xml:space="preserve">Pick one of the curated Rider Responses, or write their own</w:t>
      </w:r>
    </w:p>
    <w:p>
      <w:pPr>
        <w:pStyle w:val="ListParagraph"/>
        <w:numPr>
          <w:ilvl w:val="0"/>
          <w:numId w:val="3"/>
        </w:numPr>
        <w:spacing w:after="80"/>
      </w:pPr>
      <w:r>
        <w:t xml:space="preserve">Take or upload a photo — done</w:t>
      </w:r>
    </w:p>
    <w:p>
      <w:pPr>
        <w:pStyle w:val="Heading2"/>
      </w:pPr>
      <w:r>
        <w:t xml:space="preserve">Spectator Path</w:t>
      </w:r>
    </w:p>
    <w:p>
      <w:pPr>
        <w:pStyle w:val="ListParagraph"/>
        <w:numPr>
          <w:ilvl w:val="0"/>
          <w:numId w:val="3"/>
        </w:numPr>
        <w:spacing w:after="80"/>
      </w:pPr>
      <w:r>
        <w:t xml:space="preserve">Scan the Spectator QR code</w:t>
      </w:r>
    </w:p>
    <w:p>
      <w:pPr>
        <w:pStyle w:val="ListParagraph"/>
        <w:numPr>
          <w:ilvl w:val="0"/>
          <w:numId w:val="3"/>
        </w:numPr>
        <w:spacing w:after="80"/>
      </w:pPr>
      <w:r>
        <w:t xml:space="preserve">Pick a Headline from the curated phrases, or write their own</w:t>
      </w:r>
    </w:p>
    <w:p>
      <w:pPr>
        <w:pStyle w:val="ListParagraph"/>
        <w:numPr>
          <w:ilvl w:val="0"/>
          <w:numId w:val="3"/>
        </w:numPr>
        <w:spacing w:after="80"/>
      </w:pPr>
      <w:r>
        <w:t xml:space="preserve">Optionally add a photo caption or credit (e.g. their name, or a family name)</w:t>
      </w:r>
    </w:p>
    <w:p>
      <w:pPr>
        <w:pStyle w:val="ListParagraph"/>
        <w:numPr>
          <w:ilvl w:val="0"/>
          <w:numId w:val="3"/>
        </w:numPr>
        <w:spacing w:after="80"/>
      </w:pPr>
      <w:r>
        <w:t xml:space="preserve">Take or upload a photo — done</w:t>
      </w:r>
    </w:p>
    <w:p>
      <w:pPr>
        <w:pStyle w:val="Heading2"/>
      </w:pPr>
      <w:r>
        <w:t xml:space="preserve">Media Path</w:t>
      </w:r>
    </w:p>
    <w:p>
      <w:pPr>
        <w:pStyle w:val="ListParagraph"/>
        <w:numPr>
          <w:ilvl w:val="0"/>
          <w:numId w:val="3"/>
        </w:numPr>
        <w:spacing w:after="80"/>
      </w:pPr>
      <w:r>
        <w:t xml:space="preserve">Scan the Media QR code</w:t>
      </w:r>
    </w:p>
    <w:p>
      <w:pPr>
        <w:pStyle w:val="ListParagraph"/>
        <w:numPr>
          <w:ilvl w:val="0"/>
          <w:numId w:val="3"/>
        </w:numPr>
        <w:spacing w:after="80"/>
      </w:pPr>
      <w:r>
        <w:t xml:space="preserve">Enter their photographer/organization name, and optionally a website</w:t>
      </w:r>
    </w:p>
    <w:p>
      <w:pPr>
        <w:pStyle w:val="ListParagraph"/>
        <w:numPr>
          <w:ilvl w:val="0"/>
          <w:numId w:val="3"/>
        </w:numPr>
        <w:spacing w:after="80"/>
      </w:pPr>
      <w:r>
        <w:t xml:space="preserve">Take or upload a photo — the frame shows a subtle photo credit watermark instead of a placing, crediting their work</w:t>
      </w:r>
    </w:p>
    <w:p>
      <w:pPr>
        <w:pStyle w:val="Heading1"/>
      </w:pPr>
      <w:r>
        <w:t xml:space="preserve">A Few Other Things Worth Knowing</w:t>
      </w:r>
    </w:p>
    <w:p>
      <w:pPr>
        <w:pStyle w:val="ListParagraph"/>
        <w:numPr>
          <w:ilvl w:val="0"/>
          <w:numId w:val="3"/>
        </w:numPr>
        <w:spacing w:after="80"/>
      </w:pPr>
      <w:r>
        <w:rPr>
          <w:b/>
          <w:bCs/>
        </w:rPr>
        <w:t xml:space="preserve">Editing event name or dates after creation</w:t>
      </w:r>
      <w:r>
        <w:t xml:space="preserve"> requires Super Admin access — ask if you need a typo fixed or dates adjusted partway through setup.</w:t>
      </w:r>
    </w:p>
    <w:p>
      <w:pPr>
        <w:pStyle w:val="ListParagraph"/>
        <w:numPr>
          <w:ilvl w:val="0"/>
          <w:numId w:val="3"/>
        </w:numPr>
        <w:spacing w:after="80"/>
      </w:pPr>
      <w:r>
        <w:rPr>
          <w:b/>
          <w:bCs/>
        </w:rPr>
        <w:t xml:space="preserve">This guide</w:t>
      </w:r>
      <w:r>
        <w:t xml:space="preserve"> is also downloadable directly from the Event Branding card in the admin panel, so you can always get back to the latest version without searching for this file.</w:t>
      </w:r>
    </w:p>
    <w:p>
      <w:pPr>
        <w:pStyle w:val="Heading1"/>
      </w:pPr>
      <w:r>
        <w:t xml:space="preserve">What We'd Love Your Feedback On</w:t>
      </w:r>
    </w:p>
    <w:p>
      <w:pPr>
        <w:spacing w:after="160"/>
      </w:pPr>
      <w:r>
        <w:t xml:space="preserve">No need to write an essay — even quick notes on these are genuinely useful:</w:t>
      </w:r>
    </w:p>
    <w:p>
      <w:pPr>
        <w:pStyle w:val="ListParagraph"/>
        <w:numPr>
          <w:ilvl w:val="0"/>
          <w:numId w:val="3"/>
        </w:numPr>
        <w:spacing w:after="80"/>
      </w:pPr>
      <w:r>
        <w:rPr>
          <w:b/>
          <w:bCs/>
        </w:rPr>
        <w:t xml:space="preserve">Branding &amp; Event Type: </w:t>
      </w:r>
      <w:r>
        <w:t xml:space="preserve">Did choosing an Event Type and seeing the configuration change make sense? Anything confusing about what appeared or disappeared?</w:t>
      </w:r>
    </w:p>
    <w:p>
      <w:pPr>
        <w:pStyle w:val="ListParagraph"/>
        <w:numPr>
          <w:ilvl w:val="0"/>
          <w:numId w:val="3"/>
        </w:numPr>
        <w:spacing w:after="80"/>
      </w:pPr>
      <w:r>
        <w:rPr>
          <w:b/>
          <w:bCs/>
        </w:rPr>
        <w:t xml:space="preserve">CSV import (Horse Show events): </w:t>
      </w:r>
      <w:r>
        <w:t xml:space="preserve">Did the column format match how your existing class list is organized? Anything you had to reformat or guess at?</w:t>
      </w:r>
    </w:p>
    <w:p>
      <w:pPr>
        <w:pStyle w:val="ListParagraph"/>
        <w:numPr>
          <w:ilvl w:val="0"/>
          <w:numId w:val="3"/>
        </w:numPr>
        <w:spacing w:after="80"/>
      </w:pPr>
      <w:r>
        <w:rPr>
          <w:b/>
          <w:bCs/>
        </w:rPr>
        <w:t xml:space="preserve">The three QR codes: </w:t>
      </w:r>
      <w:r>
        <w:t xml:space="preserve">Does Entrant / Spectator / Media make sense as a concept? Would your team know where to physically put each one, and which print option (cards vs. poster, full colour vs. minimal ink) to use, on the day?</w:t>
      </w:r>
    </w:p>
    <w:p>
      <w:pPr>
        <w:pStyle w:val="ListParagraph"/>
        <w:numPr>
          <w:ilvl w:val="0"/>
          <w:numId w:val="3"/>
        </w:numPr>
        <w:spacing w:after="80"/>
      </w:pPr>
      <w:r>
        <w:rPr>
          <w:b/>
          <w:bCs/>
        </w:rPr>
        <w:t xml:space="preserve">The rider/spectator/photographer experience: </w:t>
      </w:r>
      <w:r>
        <w:t xml:space="preserve">Try scanning your own QR codes and going through each flow yourself — did it feel smooth? Anything broken or confusing?</w:t>
      </w:r>
    </w:p>
    <w:p>
      <w:pPr>
        <w:pStyle w:val="ListParagraph"/>
        <w:numPr>
          <w:ilvl w:val="0"/>
          <w:numId w:val="3"/>
        </w:numPr>
        <w:spacing w:after="80"/>
      </w:pPr>
      <w:r>
        <w:rPr>
          <w:b/>
          <w:bCs/>
        </w:rPr>
        <w:t xml:space="preserve">Anything that broke: </w:t>
      </w:r>
      <w:r>
        <w:t xml:space="preserve">Screenshots are incredibly helpful if anything looks wrong or doesn't work as expected.</w:t>
      </w:r>
    </w:p>
    <w:p>
      <w:pPr>
        <w:spacing w:before="320"/>
      </w:pPr>
      <w:r>
        <w:rPr>
          <w:i/>
          <w:iCs/>
          <w:color w:val="777777"/>
        </w:rPr>
        <w:t xml:space="preserve">Thank you for taking the time to test this — your feedback now will make event day go that much more smoothly.</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C1C1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0F2808"/>
      <w:sz w:val="30"/>
      <w:szCs w:val="30"/>
    </w:rPr>
  </w:style>
  <w:style w:type="paragraph" w:styleId="Heading2">
    <w:name w:val="Heading 2"/>
    <w:basedOn w:val="Normal"/>
    <w:next w:val="Normal"/>
    <w:qFormat/>
    <w:pPr>
      <w:spacing w:after="140" w:before="260"/>
      <w:outlineLvl w:val="1"/>
    </w:pPr>
    <w:rPr>
      <w:rFonts w:ascii="Georgia" w:cs="Georgia" w:eastAsia="Georgia" w:hAnsi="Georgia"/>
      <w:b/>
      <w:bCs/>
      <w:color w:val="9C7A2E"/>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2026-06-26T00:10:18.977Z</dcterms:created>
  <dcterms:modified xsi:type="dcterms:W3CDTF">2026-06-26T00:10:18.980Z</dcterms:modified>
</cp:coreProperties>
</file>

<file path=docProps/custom.xml><?xml version="1.0" encoding="utf-8"?>
<Properties xmlns="http://schemas.openxmlformats.org/officeDocument/2006/custom-properties" xmlns:vt="http://schemas.openxmlformats.org/officeDocument/2006/docPropsVTypes"/>
</file>